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atLeast"/>
        <w:jc w:val="center"/>
        <w:rPr>
          <w:rFonts w:ascii="宋体" w:hAnsi="宋体" w:cs="宋体"/>
          <w:color w:val="333333"/>
          <w:sz w:val="44"/>
          <w:szCs w:val="44"/>
          <w:shd w:val="clear" w:color="auto" w:fill="FFFFFF"/>
        </w:rPr>
      </w:pPr>
    </w:p>
    <w:p>
      <w:pPr>
        <w:suppressAutoHyphens/>
        <w:spacing w:line="590" w:lineRule="exact"/>
        <w:jc w:val="center"/>
        <w:rPr>
          <w:rFonts w:cs="方正小标宋_GBK" w:asciiTheme="majorEastAsia" w:hAnsiTheme="majorEastAsia" w:eastAsiaTheme="majorEastAsia"/>
          <w:sz w:val="44"/>
          <w:szCs w:val="44"/>
        </w:rPr>
      </w:pPr>
      <w:r>
        <w:rPr>
          <w:rFonts w:hint="eastAsia" w:cs="方正小标宋_GBK" w:asciiTheme="majorEastAsia" w:hAnsiTheme="majorEastAsia" w:eastAsiaTheme="majorEastAsia"/>
          <w:sz w:val="44"/>
          <w:szCs w:val="44"/>
        </w:rPr>
        <w:t>关于印发《阜新市人民调解“以案定补”暂行管理办法》的通知</w:t>
      </w:r>
    </w:p>
    <w:p>
      <w:pPr>
        <w:pStyle w:val="6"/>
        <w:spacing w:before="75" w:beforeAutospacing="0" w:after="75" w:afterAutospacing="0" w:line="585" w:lineRule="atLeast"/>
        <w:rPr>
          <w:rFonts w:cs="Arial"/>
          <w:color w:val="000000"/>
          <w:sz w:val="44"/>
          <w:szCs w:val="44"/>
        </w:rPr>
      </w:pPr>
    </w:p>
    <w:p>
      <w:pPr>
        <w:ind w:firstLine="640" w:firstLineChars="200"/>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阜司发〔202</w:t>
      </w:r>
      <w:r>
        <w:rPr>
          <w:rFonts w:ascii="仿宋_GB2312" w:hAnsi="仿宋_GB2312" w:eastAsia="仿宋_GB2312" w:cs="仿宋_GB2312"/>
          <w:color w:val="333333"/>
          <w:sz w:val="32"/>
          <w:szCs w:val="32"/>
          <w:shd w:val="clear" w:color="auto" w:fill="FFFFFF"/>
        </w:rPr>
        <w:t>0</w:t>
      </w:r>
      <w:r>
        <w:rPr>
          <w:rFonts w:hint="eastAsia" w:ascii="仿宋_GB2312" w:hAnsi="仿宋_GB2312" w:eastAsia="仿宋_GB2312" w:cs="仿宋_GB2312"/>
          <w:color w:val="333333"/>
          <w:sz w:val="32"/>
          <w:szCs w:val="32"/>
          <w:shd w:val="clear" w:color="auto" w:fill="FFFFFF"/>
        </w:rPr>
        <w:t>〕10号</w:t>
      </w:r>
    </w:p>
    <w:p>
      <w:pPr>
        <w:pStyle w:val="6"/>
        <w:adjustRightInd w:val="0"/>
        <w:snapToGrid w:val="0"/>
        <w:spacing w:before="75" w:beforeAutospacing="0" w:after="75" w:afterAutospacing="0" w:line="590" w:lineRule="exact"/>
        <w:rPr>
          <w:rFonts w:cs="Arial"/>
          <w:color w:val="000000"/>
          <w:sz w:val="32"/>
          <w:szCs w:val="32"/>
        </w:rPr>
      </w:pPr>
    </w:p>
    <w:p>
      <w:pPr>
        <w:adjustRightInd w:val="0"/>
        <w:snapToGrid w:val="0"/>
        <w:spacing w:line="590" w:lineRule="exact"/>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各县（区）委政法委、县（区）司法局：</w:t>
      </w:r>
    </w:p>
    <w:p>
      <w:pPr>
        <w:adjustRightInd w:val="0"/>
        <w:snapToGrid w:val="0"/>
        <w:spacing w:line="590" w:lineRule="exact"/>
        <w:ind w:firstLine="640" w:firstLineChars="200"/>
        <w:jc w:val="left"/>
        <w:rPr>
          <w:rFonts w:ascii="Arial" w:hAnsi="Arial" w:cs="Arial"/>
          <w:color w:val="000000"/>
          <w:sz w:val="32"/>
          <w:szCs w:val="32"/>
        </w:rPr>
      </w:pPr>
      <w:r>
        <w:rPr>
          <w:rFonts w:eastAsia="仿宋_GB2312" w:cs="Calibri"/>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现将《阜新市人民调解“以案定补”暂行管理办法》印发给你们，请结合实际，认真贯彻执行。</w:t>
      </w:r>
      <w:r>
        <w:rPr>
          <w:rFonts w:hint="eastAsia" w:cs="Arial"/>
          <w:color w:val="000000"/>
          <w:sz w:val="32"/>
          <w:szCs w:val="32"/>
        </w:rPr>
        <w:t>   </w:t>
      </w:r>
    </w:p>
    <w:p>
      <w:pPr>
        <w:pStyle w:val="6"/>
        <w:adjustRightInd w:val="0"/>
        <w:snapToGrid w:val="0"/>
        <w:spacing w:before="75" w:beforeAutospacing="0" w:after="75" w:afterAutospacing="0" w:line="590" w:lineRule="exact"/>
        <w:ind w:firstLine="645"/>
        <w:rPr>
          <w:rFonts w:ascii="Arial" w:hAnsi="Arial" w:cs="Arial"/>
          <w:color w:val="000000"/>
          <w:sz w:val="32"/>
          <w:szCs w:val="32"/>
        </w:rPr>
      </w:pPr>
      <w:r>
        <w:rPr>
          <w:rFonts w:hint="eastAsia" w:cs="Arial"/>
          <w:color w:val="000000"/>
          <w:sz w:val="32"/>
          <w:szCs w:val="32"/>
        </w:rPr>
        <w:t> </w:t>
      </w:r>
    </w:p>
    <w:p>
      <w:pPr>
        <w:pStyle w:val="6"/>
        <w:adjustRightInd w:val="0"/>
        <w:snapToGrid w:val="0"/>
        <w:spacing w:before="75" w:beforeAutospacing="0" w:after="75" w:afterAutospacing="0" w:line="590" w:lineRule="exact"/>
        <w:ind w:firstLine="645"/>
        <w:rPr>
          <w:rFonts w:ascii="Arial" w:hAnsi="Arial" w:cs="Arial"/>
          <w:color w:val="000000"/>
          <w:sz w:val="32"/>
          <w:szCs w:val="32"/>
        </w:rPr>
      </w:pPr>
      <w:r>
        <w:rPr>
          <w:rFonts w:hint="eastAsia" w:cs="Arial"/>
          <w:color w:val="000000"/>
          <w:sz w:val="32"/>
          <w:szCs w:val="32"/>
        </w:rPr>
        <w:t> </w:t>
      </w:r>
    </w:p>
    <w:p>
      <w:pPr>
        <w:pStyle w:val="6"/>
        <w:adjustRightInd w:val="0"/>
        <w:snapToGrid w:val="0"/>
        <w:spacing w:before="75" w:beforeAutospacing="0" w:after="75" w:afterAutospacing="0" w:line="590" w:lineRule="exact"/>
        <w:ind w:firstLine="645"/>
        <w:rPr>
          <w:rFonts w:ascii="Arial" w:hAnsi="Arial" w:cs="Arial"/>
          <w:color w:val="000000"/>
          <w:sz w:val="32"/>
          <w:szCs w:val="32"/>
        </w:rPr>
      </w:pPr>
      <w:r>
        <w:rPr>
          <w:rFonts w:hint="eastAsia" w:cs="Arial"/>
          <w:color w:val="000000"/>
          <w:sz w:val="32"/>
          <w:szCs w:val="32"/>
        </w:rPr>
        <w:t> </w:t>
      </w:r>
    </w:p>
    <w:p>
      <w:pPr>
        <w:pStyle w:val="6"/>
        <w:adjustRightInd w:val="0"/>
        <w:snapToGrid w:val="0"/>
        <w:spacing w:before="75" w:beforeAutospacing="0" w:after="75" w:afterAutospacing="0" w:line="590" w:lineRule="exact"/>
        <w:ind w:firstLine="690"/>
        <w:jc w:val="right"/>
        <w:rPr>
          <w:rFonts w:ascii="仿宋_GB2312" w:hAnsi="仿宋_GB2312" w:eastAsia="仿宋_GB2312" w:cs="仿宋_GB2312"/>
          <w:color w:val="333333"/>
          <w:kern w:val="2"/>
          <w:sz w:val="32"/>
          <w:szCs w:val="32"/>
          <w:shd w:val="clear" w:color="auto" w:fill="FFFFFF"/>
        </w:rPr>
      </w:pPr>
      <w:r>
        <w:rPr>
          <w:rFonts w:hint="eastAsia" w:cs="Arial"/>
          <w:color w:val="000000"/>
          <w:sz w:val="32"/>
          <w:szCs w:val="32"/>
        </w:rPr>
        <w:t>   </w:t>
      </w:r>
      <w:r>
        <w:rPr>
          <w:rFonts w:hint="eastAsia" w:ascii="仿宋_GB2312" w:hAnsi="仿宋_GB2312" w:eastAsia="仿宋_GB2312" w:cs="仿宋_GB2312"/>
          <w:color w:val="333333"/>
          <w:kern w:val="2"/>
          <w:sz w:val="32"/>
          <w:szCs w:val="32"/>
          <w:shd w:val="clear" w:color="auto" w:fill="FFFFFF"/>
        </w:rPr>
        <w:t>中共阜新市委政法委</w:t>
      </w:r>
    </w:p>
    <w:p>
      <w:pPr>
        <w:pStyle w:val="6"/>
        <w:adjustRightInd w:val="0"/>
        <w:snapToGrid w:val="0"/>
        <w:spacing w:before="75" w:beforeAutospacing="0" w:after="75" w:afterAutospacing="0" w:line="590" w:lineRule="exact"/>
        <w:ind w:firstLine="690"/>
        <w:jc w:val="right"/>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阜新市司法局</w:t>
      </w:r>
    </w:p>
    <w:p>
      <w:pPr>
        <w:pStyle w:val="6"/>
        <w:adjustRightInd w:val="0"/>
        <w:snapToGrid w:val="0"/>
        <w:spacing w:before="75" w:beforeAutospacing="0" w:after="75" w:afterAutospacing="0" w:line="590" w:lineRule="exact"/>
        <w:jc w:val="right"/>
        <w:rPr>
          <w:rFonts w:ascii="仿宋_GB2312" w:hAnsi="仿宋_GB2312" w:eastAsia="仿宋_GB2312" w:cs="仿宋_GB2312"/>
          <w:color w:val="333333"/>
          <w:kern w:val="2"/>
          <w:sz w:val="32"/>
          <w:szCs w:val="32"/>
          <w:shd w:val="clear" w:color="auto" w:fill="FFFFFF"/>
        </w:rPr>
      </w:pPr>
      <w:r>
        <w:rPr>
          <w:rFonts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 xml:space="preserve"> </w:t>
      </w:r>
      <w:r>
        <w:rPr>
          <w:rFonts w:eastAsia="仿宋_GB2312" w:cs="Calibri"/>
          <w:color w:val="333333"/>
          <w:kern w:val="2"/>
          <w:sz w:val="32"/>
          <w:szCs w:val="32"/>
          <w:shd w:val="clear" w:color="auto" w:fill="FFFFFF"/>
        </w:rPr>
        <w:t>   </w:t>
      </w:r>
      <w:r>
        <w:rPr>
          <w:rFonts w:hint="eastAsia" w:ascii="仿宋_GB2312" w:hAnsi="仿宋_GB2312" w:eastAsia="仿宋_GB2312" w:cs="仿宋_GB2312"/>
          <w:color w:val="333333"/>
          <w:kern w:val="2"/>
          <w:sz w:val="32"/>
          <w:szCs w:val="32"/>
          <w:shd w:val="clear" w:color="auto" w:fill="FFFFFF"/>
        </w:rPr>
        <w:t>2020年9月30日</w:t>
      </w:r>
    </w:p>
    <w:p>
      <w:pPr>
        <w:pStyle w:val="6"/>
        <w:adjustRightInd w:val="0"/>
        <w:snapToGrid w:val="0"/>
        <w:spacing w:before="75" w:beforeAutospacing="0" w:after="75" w:afterAutospacing="0" w:line="590" w:lineRule="exact"/>
        <w:ind w:firstLine="48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（此件公开发布）</w:t>
      </w:r>
    </w:p>
    <w:p>
      <w:pPr>
        <w:pStyle w:val="6"/>
        <w:adjustRightInd w:val="0"/>
        <w:snapToGrid w:val="0"/>
        <w:spacing w:before="75" w:beforeAutospacing="0" w:after="75" w:afterAutospacing="0" w:line="590" w:lineRule="exact"/>
        <w:jc w:val="center"/>
        <w:rPr>
          <w:rFonts w:ascii="Arial" w:hAnsi="Arial" w:cs="Arial"/>
          <w:color w:val="000000"/>
          <w:sz w:val="32"/>
          <w:szCs w:val="32"/>
        </w:rPr>
      </w:pPr>
    </w:p>
    <w:p>
      <w:pPr>
        <w:pStyle w:val="6"/>
        <w:adjustRightInd w:val="0"/>
        <w:snapToGrid w:val="0"/>
        <w:spacing w:before="75" w:beforeAutospacing="0" w:after="75" w:afterAutospacing="0" w:line="590" w:lineRule="exact"/>
        <w:jc w:val="center"/>
        <w:rPr>
          <w:rFonts w:cs="Arial"/>
          <w:color w:val="000000"/>
          <w:sz w:val="44"/>
          <w:szCs w:val="44"/>
        </w:rPr>
      </w:pPr>
    </w:p>
    <w:p>
      <w:pPr>
        <w:pStyle w:val="6"/>
        <w:adjustRightInd w:val="0"/>
        <w:snapToGrid w:val="0"/>
        <w:spacing w:before="75" w:beforeAutospacing="0" w:after="75" w:afterAutospacing="0" w:line="590" w:lineRule="exact"/>
        <w:rPr>
          <w:rFonts w:cs="Arial"/>
          <w:color w:val="000000"/>
          <w:sz w:val="44"/>
          <w:szCs w:val="44"/>
        </w:rPr>
      </w:pPr>
    </w:p>
    <w:p>
      <w:pPr>
        <w:pStyle w:val="6"/>
        <w:adjustRightInd w:val="0"/>
        <w:snapToGrid w:val="0"/>
        <w:spacing w:beforeAutospacing="0" w:afterAutospacing="0" w:line="590" w:lineRule="exact"/>
        <w:jc w:val="center"/>
        <w:rPr>
          <w:rFonts w:ascii="黑体" w:hAnsi="黑体" w:eastAsia="黑体" w:cs="Arial"/>
          <w:color w:val="000000"/>
          <w:sz w:val="32"/>
          <w:szCs w:val="32"/>
        </w:rPr>
      </w:pPr>
      <w:r>
        <w:rPr>
          <w:rFonts w:hint="eastAsia" w:ascii="黑体" w:hAnsi="黑体" w:eastAsia="黑体" w:cs="Arial"/>
          <w:color w:val="000000"/>
          <w:sz w:val="32"/>
          <w:szCs w:val="32"/>
        </w:rPr>
        <w:t>阜新市人民调解“以案定补”暂行管理办法</w:t>
      </w:r>
    </w:p>
    <w:p>
      <w:pPr>
        <w:pStyle w:val="6"/>
        <w:adjustRightInd w:val="0"/>
        <w:snapToGrid w:val="0"/>
        <w:spacing w:before="75" w:beforeAutospacing="0" w:after="75" w:afterAutospacing="0" w:line="590" w:lineRule="exact"/>
        <w:rPr>
          <w:rFonts w:ascii="Arial" w:hAnsi="Arial" w:cs="Arial"/>
          <w:color w:val="000000"/>
          <w:sz w:val="32"/>
          <w:szCs w:val="32"/>
        </w:rPr>
      </w:pPr>
      <w:r>
        <w:rPr>
          <w:rFonts w:eastAsia="仿宋" w:cs="Calibri"/>
          <w:color w:val="000000"/>
          <w:sz w:val="32"/>
          <w:szCs w:val="32"/>
        </w:rPr>
        <w:t> </w:t>
      </w:r>
    </w:p>
    <w:p>
      <w:pPr>
        <w:pStyle w:val="6"/>
        <w:adjustRightInd w:val="0"/>
        <w:snapToGrid w:val="0"/>
        <w:spacing w:beforeAutospacing="0" w:afterAutospacing="0" w:line="590" w:lineRule="exact"/>
        <w:ind w:firstLine="675"/>
        <w:rPr>
          <w:rFonts w:ascii="仿宋" w:hAnsi="仿宋" w:eastAsia="仿宋" w:cs="Arial"/>
          <w:color w:val="000000"/>
          <w:sz w:val="32"/>
          <w:szCs w:val="32"/>
        </w:rPr>
      </w:pPr>
      <w:r>
        <w:rPr>
          <w:rFonts w:hint="eastAsia" w:ascii="黑体" w:hAnsi="黑体" w:eastAsia="黑体" w:cs="Arial"/>
          <w:color w:val="000000"/>
          <w:sz w:val="32"/>
          <w:szCs w:val="32"/>
        </w:rPr>
        <w:t>第一条</w:t>
      </w:r>
      <w:r>
        <w:rPr>
          <w:rFonts w:eastAsia="仿宋" w:cs="Calibri"/>
          <w:color w:val="000000"/>
          <w:sz w:val="32"/>
          <w:szCs w:val="32"/>
        </w:rPr>
        <w:t> </w:t>
      </w:r>
      <w:r>
        <w:rPr>
          <w:rFonts w:hint="eastAsia" w:eastAsia="仿宋_GB2312" w:cs="Calibri"/>
          <w:color w:val="333333"/>
          <w:kern w:val="2"/>
          <w:sz w:val="32"/>
          <w:szCs w:val="32"/>
          <w:shd w:val="clear" w:color="auto" w:fill="FFFFFF"/>
        </w:rPr>
        <w:t>为深入贯彻落实《中华人民共和国人民调解法》、财政部和司法部《关于进一步加强人民调解工作经费保障的意见》（财行〔2007〕179号）及省委政法委等六部门联合下发的《关于加强人民调解员队伍建设的实施意见》（辽司发〔2018〕23号）要求，广泛动员社会力量参与人民调解工作，充分调动人民调解员工作积极性和主动性，发挥人民调解维护社会和谐稳定“第一道防线”作用，提高人民调解案件质量，经市委政法委会同市司法局研究决定，从2020年度开始，市、县（区）将对人民调解案件实行“以案定补”补贴。特制定本办法。</w:t>
      </w:r>
    </w:p>
    <w:p>
      <w:pPr>
        <w:pStyle w:val="6"/>
        <w:adjustRightInd w:val="0"/>
        <w:snapToGrid w:val="0"/>
        <w:spacing w:beforeAutospacing="0" w:afterAutospacing="0" w:line="590" w:lineRule="exact"/>
        <w:ind w:firstLine="675"/>
        <w:rPr>
          <w:rFonts w:ascii="仿宋" w:hAnsi="仿宋" w:eastAsia="仿宋" w:cs="Arial"/>
          <w:color w:val="000000"/>
          <w:sz w:val="32"/>
          <w:szCs w:val="32"/>
        </w:rPr>
      </w:pPr>
      <w:r>
        <w:rPr>
          <w:rFonts w:hint="eastAsia" w:ascii="黑体" w:hAnsi="黑体" w:eastAsia="黑体" w:cs="Arial"/>
          <w:color w:val="000000"/>
          <w:sz w:val="32"/>
          <w:szCs w:val="32"/>
        </w:rPr>
        <w:t>第二条</w:t>
      </w:r>
      <w:r>
        <w:rPr>
          <w:rFonts w:eastAsia="仿宋" w:cs="Calibri"/>
          <w:color w:val="000000"/>
          <w:sz w:val="32"/>
          <w:szCs w:val="32"/>
        </w:rPr>
        <w:t> </w:t>
      </w:r>
      <w:r>
        <w:rPr>
          <w:rFonts w:hint="eastAsia" w:eastAsia="仿宋_GB2312" w:cs="Calibri"/>
          <w:color w:val="333333"/>
          <w:kern w:val="2"/>
          <w:sz w:val="32"/>
          <w:szCs w:val="32"/>
          <w:shd w:val="clear" w:color="auto" w:fill="FFFFFF"/>
        </w:rPr>
        <w:t>本办法所称人民调解“以案定补”补贴，是指对在司法行政机关备案的各类人民调解组织的人民调解员调解的矛盾纠纷案件，主要事实清楚，调解程序规范，适用法律得当，调解文书制作符合规范，协议履行到位，达到案结事了，实行“个案补贴”</w:t>
      </w:r>
      <w:r>
        <w:rPr>
          <w:rFonts w:hint="eastAsia" w:ascii="仿宋" w:hAnsi="仿宋" w:eastAsia="仿宋" w:cs="Arial"/>
          <w:color w:val="000000"/>
          <w:sz w:val="32"/>
          <w:szCs w:val="32"/>
        </w:rPr>
        <w:t>。</w:t>
      </w:r>
    </w:p>
    <w:p>
      <w:pPr>
        <w:pStyle w:val="6"/>
        <w:adjustRightInd w:val="0"/>
        <w:snapToGrid w:val="0"/>
        <w:spacing w:beforeAutospacing="0" w:afterAutospacing="0" w:line="590" w:lineRule="exact"/>
        <w:ind w:firstLine="675"/>
        <w:rPr>
          <w:rFonts w:ascii="仿宋" w:hAnsi="仿宋" w:eastAsia="仿宋" w:cs="Arial"/>
          <w:color w:val="000000"/>
          <w:sz w:val="32"/>
          <w:szCs w:val="32"/>
        </w:rPr>
      </w:pPr>
      <w:r>
        <w:rPr>
          <w:rFonts w:hint="eastAsia" w:ascii="黑体" w:hAnsi="黑体" w:eastAsia="黑体" w:cs="Arial"/>
          <w:color w:val="000000"/>
          <w:sz w:val="32"/>
          <w:szCs w:val="32"/>
        </w:rPr>
        <w:t>第三条</w:t>
      </w:r>
      <w:r>
        <w:rPr>
          <w:rFonts w:eastAsia="仿宋" w:cs="Calibri"/>
          <w:color w:val="000000"/>
          <w:sz w:val="32"/>
          <w:szCs w:val="32"/>
        </w:rPr>
        <w:t> </w:t>
      </w:r>
      <w:r>
        <w:rPr>
          <w:rFonts w:hint="eastAsia" w:eastAsia="仿宋_GB2312" w:cs="Calibri"/>
          <w:color w:val="333333"/>
          <w:kern w:val="2"/>
          <w:sz w:val="32"/>
          <w:szCs w:val="32"/>
          <w:shd w:val="clear" w:color="auto" w:fill="FFFFFF"/>
        </w:rPr>
        <w:t>人民调解案件“以案定补”补贴经费由市、县（区）政府分级解决，可先从司法行政机关办案（业务）经费中列支。</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ascii="黑体" w:hAnsi="黑体" w:eastAsia="黑体" w:cs="Arial"/>
          <w:color w:val="000000"/>
          <w:sz w:val="32"/>
          <w:szCs w:val="32"/>
        </w:rPr>
        <w:t>第四条</w:t>
      </w:r>
      <w:r>
        <w:rPr>
          <w:rFonts w:eastAsia="仿宋" w:cs="Calibri"/>
          <w:color w:val="000000"/>
          <w:sz w:val="32"/>
          <w:szCs w:val="32"/>
        </w:rPr>
        <w:t> </w:t>
      </w:r>
      <w:r>
        <w:rPr>
          <w:rFonts w:hint="eastAsia" w:eastAsia="仿宋_GB2312" w:cs="Calibri"/>
          <w:color w:val="333333"/>
          <w:kern w:val="2"/>
          <w:sz w:val="32"/>
          <w:szCs w:val="32"/>
          <w:shd w:val="clear" w:color="auto" w:fill="FFFFFF"/>
        </w:rPr>
        <w:t>人民调解“个案补贴”，按照“一案一卷”、调解成功、协议履行、一案一补的原则发放。给予补贴的调解案件，应当符合《中华人民共和国人民调解法》规定的人民调解组织调处的矛盾纠纷案件。行政调解、司法调解和禁止采用人民调解方式解决的纠纷案件不在补贴范围内。</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ascii="黑体" w:hAnsi="黑体" w:eastAsia="黑体" w:cs="Arial"/>
          <w:color w:val="000000"/>
          <w:sz w:val="32"/>
          <w:szCs w:val="32"/>
        </w:rPr>
        <w:t>第五条</w:t>
      </w:r>
      <w:r>
        <w:rPr>
          <w:rFonts w:eastAsia="仿宋" w:cs="Calibri"/>
          <w:color w:val="000000"/>
          <w:sz w:val="32"/>
          <w:szCs w:val="32"/>
        </w:rPr>
        <w:t> </w:t>
      </w:r>
      <w:r>
        <w:rPr>
          <w:rFonts w:hint="eastAsia" w:eastAsia="仿宋_GB2312" w:cs="Calibri"/>
          <w:color w:val="333333"/>
          <w:kern w:val="2"/>
          <w:sz w:val="32"/>
          <w:szCs w:val="32"/>
          <w:shd w:val="clear" w:color="auto" w:fill="FFFFFF"/>
        </w:rPr>
        <w:t>“以案定补”补贴对象为村、社区、乡镇、街道、行业性专业性人民调解委员会选任或聘任的人民调解员（含专兼职）；市、县（区）人民调解中心聘用的专职调解人员；“村（居）民评理说事点”选聘的人民调解员和个人调解工作室的人民调解员。公职人员以及其他按规定禁止兼职取酬的人员不得领取人民调解员“以案定补”补贴。</w:t>
      </w:r>
    </w:p>
    <w:p>
      <w:pPr>
        <w:pStyle w:val="6"/>
        <w:adjustRightInd w:val="0"/>
        <w:snapToGrid w:val="0"/>
        <w:spacing w:beforeAutospacing="0" w:afterAutospacing="0" w:line="590" w:lineRule="exact"/>
        <w:ind w:firstLine="675"/>
        <w:rPr>
          <w:rFonts w:ascii="仿宋" w:hAnsi="仿宋" w:eastAsia="仿宋" w:cs="Arial"/>
          <w:color w:val="000000"/>
          <w:sz w:val="32"/>
          <w:szCs w:val="32"/>
        </w:rPr>
      </w:pPr>
      <w:r>
        <w:rPr>
          <w:rFonts w:hint="eastAsia" w:ascii="黑体" w:hAnsi="黑体" w:eastAsia="黑体" w:cs="Arial"/>
          <w:color w:val="000000"/>
          <w:sz w:val="32"/>
          <w:szCs w:val="32"/>
        </w:rPr>
        <w:t>第六条</w:t>
      </w:r>
      <w:r>
        <w:rPr>
          <w:rFonts w:eastAsia="黑体" w:cs="Calibri"/>
          <w:color w:val="000000"/>
          <w:sz w:val="32"/>
          <w:szCs w:val="32"/>
        </w:rPr>
        <w:t> </w:t>
      </w:r>
      <w:r>
        <w:rPr>
          <w:rFonts w:hint="eastAsia" w:eastAsia="仿宋_GB2312" w:cs="Calibri"/>
          <w:color w:val="333333"/>
          <w:kern w:val="2"/>
          <w:sz w:val="32"/>
          <w:szCs w:val="32"/>
          <w:shd w:val="clear" w:color="auto" w:fill="FFFFFF"/>
        </w:rPr>
        <w:t>市、县（区）司法局要将当年人民调解案件“以案定补”经费预算报送市、县（区）财政局，市、县（区）财政局审核后拨付“以案定补”经费。</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ascii="黑体" w:hAnsi="黑体" w:eastAsia="黑体" w:cs="Arial"/>
          <w:color w:val="000000"/>
          <w:sz w:val="32"/>
          <w:szCs w:val="32"/>
        </w:rPr>
        <w:t>第七条</w:t>
      </w:r>
      <w:r>
        <w:rPr>
          <w:rFonts w:eastAsia="仿宋" w:cs="Calibri"/>
          <w:color w:val="000000"/>
          <w:sz w:val="32"/>
          <w:szCs w:val="32"/>
        </w:rPr>
        <w:t> </w:t>
      </w:r>
      <w:r>
        <w:rPr>
          <w:rFonts w:hint="eastAsia" w:eastAsia="仿宋_GB2312" w:cs="Calibri"/>
          <w:color w:val="333333"/>
          <w:kern w:val="2"/>
          <w:sz w:val="32"/>
          <w:szCs w:val="32"/>
          <w:shd w:val="clear" w:color="auto" w:fill="FFFFFF"/>
        </w:rPr>
        <w:t>按照调解案件的疑难复杂程度分为以下四类：口头协议类纠纷、一般类纠纷、疑难复杂类纠纷和重特大类纠纷。每宗补贴标准如下：口头协议类纠纷每宗补贴30元，一般类纠纷每宗补贴50元（诉调对接、公调对接的一般纠纷案件每宗标准100元），疑难复杂纠纷每宗补贴100-300元，重特大纠纷每宗补贴300-600元。</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疑难复杂案件、特别重大案件经多次调解虽不成功，但相关材料能证明人民调解员有效控制矛盾进一步恶化，并能够引导当事人通过法律途径解决的，由人民调解委员会出具证明，且规范制作人民调解卷宗的，按照案件补贴标准的50%给予补贴；其它案件调解不成功的，不予补贴。</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ascii="黑体" w:hAnsi="黑体" w:eastAsia="黑体" w:cs="Arial"/>
          <w:color w:val="000000"/>
          <w:sz w:val="32"/>
          <w:szCs w:val="32"/>
        </w:rPr>
        <w:t>第八条</w:t>
      </w:r>
      <w:r>
        <w:rPr>
          <w:rFonts w:eastAsia="黑体" w:cs="Calibri"/>
          <w:color w:val="000000"/>
          <w:sz w:val="32"/>
          <w:szCs w:val="32"/>
        </w:rPr>
        <w:t> </w:t>
      </w:r>
      <w:r>
        <w:rPr>
          <w:rFonts w:hint="eastAsia" w:eastAsia="仿宋_GB2312" w:cs="Calibri"/>
          <w:color w:val="333333"/>
          <w:kern w:val="2"/>
          <w:sz w:val="32"/>
          <w:szCs w:val="32"/>
          <w:shd w:val="clear" w:color="auto" w:fill="FFFFFF"/>
        </w:rPr>
        <w:t>案件类别按照调解难易程度、涉案人员数量、涉案金额标的等因素划分如下：</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（一）口头协议类纠纷是指经口头形式调解，化解纠纷，达成协议，及时履行完毕的。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（二）符合下列条件之一的为一般类纠纷：</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1.涉案当事人在10人以内的；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2.调解协议标的额在10万元以下的；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3.纠纷事实存在争议，调解难度较大，通过调解达成书面调解协议的纠纷。如一般婚姻家庭纠纷、一般邻里纠纷、一般侵权纠纷、一般生产经营性纠纷以及其他一般性的矛盾纠纷。</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（三）疑难复杂类矛盾纠纷是指矛盾较为复杂，事实认定有较大难度，通过调解达成书面调解协议的纠纷。</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符合下列条件之一的，可认定为疑难复杂类矛盾纠纷：</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1.省内跨县域的纠纷；</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2.协议标的额在10万元以上，不足100万元的；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3.当事人为10人以上的；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4.涉及10亩以上，不足50亩土地使用权或林权流转的；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5.涉及5户以上，不足10户拆迁安置补偿的；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6.涉及10人以下的群体性上访的；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7.涉及1人死亡的；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8.其它经市或县（区）司法局局长办公会议集体研究可认定为疑难复杂的矛盾纠纷。</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（四）重特大类纠纷是指矛盾纠纷非常复杂，对社会稳定有重大影响，具有突发性或者可能激化的群体性纠纷案件，调解极其困难，通过调解达成书面调解协议的纠纷。</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符合下列条件之一的，可认定为重大矛盾纠纷：</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1.跨省域的纠纷；</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2.协议标的额在100万元以上的；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3.涉及50亩以上土地使用权或林权流转的；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4.涉及10户以上拆迁安置补偿的；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5.涉及死亡2人以上的；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6.涉及10人以上群体性上访或重大群体性事件，对社会稳定有重大影响的；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7.其他经市或县（区）司法局局长办公会议集体研究可认定为重特大矛盾纠纷的情形。</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上述所称“以下”不包括本数，“以上”包括本数。</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（五）纠纷标的金额不明确，但情况复杂的案件，由司法行政机关人民参与和促进法治科（股）根据调解案件实际情况予以评定，有下列情形之一的，认定为一般性纠纷及以上档次：</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1.因不能达成四邻协议，无法顺利翻建房屋引发的纠纷；</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2.不能直接体现价值的标的物的权属纠纷；</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3.涉及土地耕地纠纷，调解3次及以上的；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4.其他经市或县（区）司法局研究后认定的。</w:t>
      </w:r>
    </w:p>
    <w:p>
      <w:pPr>
        <w:pStyle w:val="6"/>
        <w:adjustRightInd w:val="0"/>
        <w:snapToGrid w:val="0"/>
        <w:spacing w:beforeAutospacing="0" w:afterAutospacing="0" w:line="590" w:lineRule="exact"/>
        <w:ind w:firstLine="675"/>
        <w:rPr>
          <w:rFonts w:ascii="仿宋" w:hAnsi="仿宋" w:eastAsia="仿宋" w:cs="Arial"/>
          <w:color w:val="000000"/>
          <w:sz w:val="32"/>
          <w:szCs w:val="32"/>
        </w:rPr>
      </w:pPr>
      <w:r>
        <w:rPr>
          <w:rFonts w:hint="eastAsia" w:ascii="黑体" w:hAnsi="黑体" w:eastAsia="黑体" w:cs="Arial"/>
          <w:color w:val="000000"/>
          <w:sz w:val="32"/>
          <w:szCs w:val="32"/>
        </w:rPr>
        <w:t>第九条</w:t>
      </w:r>
      <w:r>
        <w:rPr>
          <w:rFonts w:eastAsia="仿宋" w:cs="Calibri"/>
          <w:color w:val="000000"/>
          <w:sz w:val="32"/>
          <w:szCs w:val="32"/>
        </w:rPr>
        <w:t> </w:t>
      </w:r>
      <w:r>
        <w:rPr>
          <w:rFonts w:hint="eastAsia" w:eastAsia="仿宋_GB2312" w:cs="Calibri"/>
          <w:color w:val="333333"/>
          <w:kern w:val="2"/>
          <w:sz w:val="32"/>
          <w:szCs w:val="32"/>
          <w:shd w:val="clear" w:color="auto" w:fill="FFFFFF"/>
        </w:rPr>
        <w:t>人民调解委员会和人民调解员领取人民调解案件补贴时，应按照司法部统一的人民调解文书格式制作标准化人民调解卷宗，并及时归档，口头协议和其他人民调解组织的书面协议要及时录入“辽宁省司法行政基层工作信息化管理系统”，形成电子卷宗。</w:t>
      </w:r>
    </w:p>
    <w:p>
      <w:pPr>
        <w:pStyle w:val="6"/>
        <w:adjustRightInd w:val="0"/>
        <w:snapToGrid w:val="0"/>
        <w:spacing w:beforeAutospacing="0" w:afterAutospacing="0" w:line="590" w:lineRule="exact"/>
        <w:ind w:firstLine="675"/>
        <w:rPr>
          <w:rFonts w:eastAsia="仿宋_GB2312" w:cs="Calibri"/>
          <w:b/>
          <w:color w:val="333333"/>
          <w:kern w:val="2"/>
          <w:sz w:val="32"/>
          <w:szCs w:val="32"/>
          <w:shd w:val="clear" w:color="auto" w:fill="FFFFFF"/>
        </w:rPr>
      </w:pPr>
      <w:r>
        <w:rPr>
          <w:rFonts w:hint="eastAsia" w:eastAsia="仿宋_GB2312" w:cs="Calibri"/>
          <w:b/>
          <w:color w:val="333333"/>
          <w:kern w:val="2"/>
          <w:sz w:val="32"/>
          <w:szCs w:val="32"/>
          <w:shd w:val="clear" w:color="auto" w:fill="FFFFFF"/>
        </w:rPr>
        <w:t>（一）人民调解卷宗标准</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书面调解协议卷宗材料主要包括：卷宗（封面）、目录、申请书、矛盾纠纷受理调解登记表、调查笔录及相关证据、调解笔录、调解协议书、回访记录及相关附件（含当事人身份证明等资料）。</w:t>
      </w:r>
    </w:p>
    <w:p>
      <w:pPr>
        <w:pStyle w:val="6"/>
        <w:adjustRightInd w:val="0"/>
        <w:snapToGrid w:val="0"/>
        <w:spacing w:beforeAutospacing="0" w:afterAutospacing="0" w:line="590" w:lineRule="exact"/>
        <w:ind w:firstLine="675"/>
        <w:rPr>
          <w:rFonts w:eastAsia="仿宋_GB2312" w:cs="Calibri"/>
          <w:b/>
          <w:color w:val="333333"/>
          <w:kern w:val="2"/>
          <w:sz w:val="32"/>
          <w:szCs w:val="32"/>
          <w:shd w:val="clear" w:color="auto" w:fill="FFFFFF"/>
        </w:rPr>
      </w:pPr>
      <w:r>
        <w:rPr>
          <w:rFonts w:hint="eastAsia" w:eastAsia="仿宋_GB2312" w:cs="Calibri"/>
          <w:b/>
          <w:color w:val="333333"/>
          <w:kern w:val="2"/>
          <w:sz w:val="32"/>
          <w:szCs w:val="32"/>
          <w:shd w:val="clear" w:color="auto" w:fill="FFFFFF"/>
        </w:rPr>
        <w:t>（二）人民调解卷宗基本要求</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1.调查笔录及相关证据要求事实清楚、证据充分；</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2.调解协议书要求当事人责任、权利、义务明确，履行的方式、期限、地点明确；</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3.回访记录应按要求记载协议履行情况、当事人对矛盾纠纷调解的意见；</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4.调解案件适用法律、法规和政策正确；</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5.签名、捺印、印章规范。</w:t>
      </w:r>
    </w:p>
    <w:p>
      <w:pPr>
        <w:pStyle w:val="6"/>
        <w:adjustRightInd w:val="0"/>
        <w:snapToGrid w:val="0"/>
        <w:spacing w:beforeAutospacing="0" w:afterAutospacing="0" w:line="590" w:lineRule="exact"/>
        <w:ind w:firstLine="675"/>
        <w:rPr>
          <w:rFonts w:eastAsia="仿宋_GB2312" w:cs="Calibri"/>
          <w:b/>
          <w:color w:val="333333"/>
          <w:kern w:val="2"/>
          <w:sz w:val="32"/>
          <w:szCs w:val="32"/>
          <w:shd w:val="clear" w:color="auto" w:fill="FFFFFF"/>
        </w:rPr>
      </w:pPr>
      <w:r>
        <w:rPr>
          <w:rFonts w:hint="eastAsia" w:eastAsia="仿宋_GB2312" w:cs="Calibri"/>
          <w:b/>
          <w:bCs/>
          <w:color w:val="333333"/>
          <w:kern w:val="2"/>
          <w:sz w:val="32"/>
          <w:szCs w:val="32"/>
          <w:shd w:val="clear" w:color="auto" w:fill="FFFFFF"/>
        </w:rPr>
        <w:t>（三）有下列情形的调解卷宗不予审核</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1.卷宗类别、卷名填写不规范的；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2.卷宗装订顺序严重混乱的；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3.卷宗缺少申请书、调解笔录、调解协议书等主要材料的；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4.调解案件材料书写潦草、卷面不整洁的。</w:t>
      </w:r>
    </w:p>
    <w:p>
      <w:pPr>
        <w:pStyle w:val="6"/>
        <w:adjustRightInd w:val="0"/>
        <w:snapToGrid w:val="0"/>
        <w:spacing w:beforeAutospacing="0" w:afterAutospacing="0" w:line="590" w:lineRule="exact"/>
        <w:ind w:firstLine="675"/>
        <w:rPr>
          <w:rFonts w:eastAsia="仿宋_GB2312" w:cs="Calibri"/>
          <w:b/>
          <w:bCs/>
          <w:color w:val="333333"/>
          <w:kern w:val="2"/>
          <w:sz w:val="40"/>
          <w:szCs w:val="32"/>
          <w:shd w:val="clear" w:color="auto" w:fill="FFFFFF"/>
        </w:rPr>
      </w:pPr>
      <w:r>
        <w:rPr>
          <w:rFonts w:hint="eastAsia" w:eastAsia="仿宋_GB2312" w:cs="Calibri"/>
          <w:b/>
          <w:color w:val="333333"/>
          <w:kern w:val="2"/>
          <w:sz w:val="32"/>
          <w:shd w:val="clear" w:color="auto" w:fill="FFFFFF"/>
        </w:rPr>
        <w:t>（四）调解卷宗保存</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所有经审核后发放办案补贴的纸质卷宗由乡镇（街道）司法所或行业性、专业性调解组织统一存档备查，如确需使用卷宗的，须经履行借用手续后方可提取，用毕及时归还留档。</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ascii="黑体" w:hAnsi="黑体" w:eastAsia="黑体" w:cs="Arial"/>
          <w:color w:val="000000"/>
          <w:sz w:val="32"/>
          <w:szCs w:val="32"/>
        </w:rPr>
        <w:t>第十条</w:t>
      </w:r>
      <w:r>
        <w:rPr>
          <w:rFonts w:eastAsia="仿宋" w:cs="Calibri"/>
          <w:color w:val="000000"/>
          <w:sz w:val="32"/>
          <w:szCs w:val="32"/>
        </w:rPr>
        <w:t> </w:t>
      </w:r>
      <w:r>
        <w:rPr>
          <w:rFonts w:hint="eastAsia" w:eastAsia="仿宋_GB2312" w:cs="Calibri"/>
          <w:color w:val="333333"/>
          <w:kern w:val="2"/>
          <w:sz w:val="32"/>
          <w:szCs w:val="32"/>
          <w:shd w:val="clear" w:color="auto" w:fill="FFFFFF"/>
        </w:rPr>
        <w:t>“以案定补”补贴的申请和发放</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（一）填报《人民调解“以案定补”案件审批表》。</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（二）“口头协议记录表”或调解协议书复印件加盖人民调解委员会印章。</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（三）村、社区、乡镇、街道人民调解委员会调解的案件，以及县区行业性专业性调解组织、县区人民调解中心调解的案件，将上述第1、2款材料报本辖区司法所初审，司法所初审通过后报县区司法局审核。</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（四）市级行业性专业性人民调解委员会调解的案件和市级人民（非诉讼纠纷）调解中心受理的调解案件结案后，将上述第1、2款材料报市司法局审核。</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（五）市、县（区）司法局对案件审核后，确定案件类别、补贴金额，按时发放。发放补贴时应建立人民调解个案补贴台账，完善相关财务手续。</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ascii="黑体" w:hAnsi="黑体" w:eastAsia="黑体" w:cs="Arial"/>
          <w:color w:val="000000"/>
          <w:sz w:val="32"/>
          <w:szCs w:val="32"/>
        </w:rPr>
        <w:t>第十一条</w:t>
      </w:r>
      <w:r>
        <w:rPr>
          <w:rFonts w:eastAsia="仿宋" w:cs="Calibri"/>
          <w:color w:val="000000"/>
          <w:sz w:val="32"/>
          <w:szCs w:val="32"/>
        </w:rPr>
        <w:t> </w:t>
      </w:r>
      <w:r>
        <w:rPr>
          <w:rFonts w:hint="eastAsia" w:eastAsia="仿宋_GB2312" w:cs="Calibri"/>
          <w:color w:val="333333"/>
          <w:kern w:val="2"/>
          <w:sz w:val="32"/>
          <w:szCs w:val="32"/>
          <w:shd w:val="clear" w:color="auto" w:fill="FFFFFF"/>
        </w:rPr>
        <w:t>人民调解委员会应当随时更新人民调解员花名册，并报司法行政机关备案。各级人民调解组织要对报送案件的真实性负责。补贴发放中存在下列违规违纪情形之一的，所发补贴经费一律追回：</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（一）侵占、挪用人民调解案件补贴经费的；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（二）经举报查实调解案件有夸大纠纷事实、虚报案件套取补贴的；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（三）调解协议被司法、仲裁部门撤销或认定无效的；</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（四）当事人举报调解员违反调解纪律，经查证属实的。</w:t>
      </w:r>
    </w:p>
    <w:p>
      <w:pPr>
        <w:pStyle w:val="6"/>
        <w:adjustRightInd w:val="0"/>
        <w:snapToGrid w:val="0"/>
        <w:spacing w:beforeAutospacing="0" w:afterAutospacing="0" w:line="590" w:lineRule="exact"/>
        <w:ind w:firstLine="675"/>
        <w:rPr>
          <w:rFonts w:ascii="仿宋" w:hAnsi="仿宋" w:eastAsia="仿宋" w:cs="Arial"/>
          <w:color w:val="000000"/>
          <w:sz w:val="32"/>
          <w:szCs w:val="32"/>
        </w:rPr>
      </w:pPr>
      <w:r>
        <w:rPr>
          <w:rFonts w:hint="eastAsia" w:eastAsia="仿宋_GB2312" w:cs="Calibri"/>
          <w:color w:val="333333"/>
          <w:kern w:val="2"/>
          <w:sz w:val="32"/>
          <w:szCs w:val="32"/>
          <w:shd w:val="clear" w:color="auto" w:fill="FFFFFF"/>
        </w:rPr>
        <w:t>市司法局和相关行业管理部门未出台特殊行业人民调解案件补贴标准前，全市各行业性专业性人民调解组织案件补贴标准，均遵照此文件执行。</w:t>
      </w:r>
    </w:p>
    <w:p>
      <w:pPr>
        <w:pStyle w:val="6"/>
        <w:adjustRightInd w:val="0"/>
        <w:snapToGrid w:val="0"/>
        <w:spacing w:beforeAutospacing="0" w:afterAutospacing="0" w:line="590" w:lineRule="exact"/>
        <w:ind w:firstLine="675"/>
        <w:rPr>
          <w:rFonts w:ascii="仿宋" w:hAnsi="仿宋" w:eastAsia="仿宋" w:cs="Arial"/>
          <w:color w:val="000000"/>
          <w:sz w:val="32"/>
          <w:szCs w:val="32"/>
        </w:rPr>
      </w:pPr>
      <w:r>
        <w:rPr>
          <w:rFonts w:hint="eastAsia" w:ascii="黑体" w:hAnsi="黑体" w:eastAsia="黑体" w:cs="Arial"/>
          <w:color w:val="000000"/>
          <w:sz w:val="32"/>
          <w:szCs w:val="32"/>
        </w:rPr>
        <w:t>第十二条</w:t>
      </w:r>
      <w:r>
        <w:rPr>
          <w:rFonts w:eastAsia="黑体" w:cs="Calibri"/>
          <w:color w:val="000000"/>
          <w:sz w:val="32"/>
          <w:szCs w:val="32"/>
        </w:rPr>
        <w:t> </w:t>
      </w:r>
      <w:r>
        <w:rPr>
          <w:rFonts w:hint="eastAsia" w:eastAsia="仿宋_GB2312" w:cs="Calibri"/>
          <w:color w:val="333333"/>
          <w:kern w:val="2"/>
          <w:sz w:val="32"/>
          <w:szCs w:val="32"/>
          <w:shd w:val="clear" w:color="auto" w:fill="FFFFFF"/>
        </w:rPr>
        <w:t>市、县（区）司法局要推进政府购买人民调解服务，政府购买人民调解服务实行项目化运作，推动相关行业协会等社会组织聘请专职人民调解员、参与承接政府购买人民调解服务。</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ascii="黑体" w:hAnsi="黑体" w:eastAsia="黑体" w:cs="Arial"/>
          <w:color w:val="000000"/>
          <w:sz w:val="32"/>
          <w:szCs w:val="32"/>
        </w:rPr>
        <w:t>第十三条</w:t>
      </w:r>
      <w:r>
        <w:rPr>
          <w:rFonts w:eastAsia="仿宋_GB2312" w:cs="Calibri"/>
          <w:color w:val="333333"/>
          <w:kern w:val="2"/>
          <w:sz w:val="32"/>
          <w:szCs w:val="32"/>
          <w:shd w:val="clear" w:color="auto" w:fill="FFFFFF"/>
        </w:rPr>
        <w:t> </w:t>
      </w:r>
      <w:r>
        <w:rPr>
          <w:rFonts w:hint="eastAsia" w:eastAsia="仿宋_GB2312" w:cs="Calibri"/>
          <w:color w:val="333333"/>
          <w:kern w:val="2"/>
          <w:sz w:val="32"/>
          <w:szCs w:val="32"/>
          <w:shd w:val="clear" w:color="auto" w:fill="FFFFFF"/>
        </w:rPr>
        <w:t>各级司法行政部门要加强对人民调解案件“以案定补”经费的使用管理，同时要主查，确保专款专用和资金绩效。</w:t>
      </w:r>
    </w:p>
    <w:p>
      <w:pPr>
        <w:pStyle w:val="6"/>
        <w:adjustRightInd w:val="0"/>
        <w:snapToGrid w:val="0"/>
        <w:spacing w:beforeAutospacing="0" w:afterAutospacing="0" w:line="590" w:lineRule="exact"/>
        <w:ind w:firstLine="675"/>
        <w:rPr>
          <w:rFonts w:ascii="仿宋" w:hAnsi="仿宋" w:eastAsia="仿宋" w:cs="Arial"/>
          <w:color w:val="000000"/>
          <w:sz w:val="32"/>
          <w:szCs w:val="32"/>
        </w:rPr>
      </w:pPr>
      <w:r>
        <w:rPr>
          <w:rFonts w:hint="eastAsia" w:ascii="黑体" w:hAnsi="黑体" w:eastAsia="黑体" w:cs="Arial"/>
          <w:color w:val="000000"/>
          <w:sz w:val="32"/>
          <w:szCs w:val="32"/>
        </w:rPr>
        <w:t>第十四条</w:t>
      </w:r>
      <w:r>
        <w:rPr>
          <w:rFonts w:eastAsia="黑体" w:cs="Calibri"/>
          <w:color w:val="000000"/>
          <w:sz w:val="32"/>
          <w:szCs w:val="32"/>
        </w:rPr>
        <w:t> </w:t>
      </w:r>
      <w:r>
        <w:rPr>
          <w:rFonts w:hint="eastAsia" w:eastAsia="仿宋_GB2312" w:cs="Calibri"/>
          <w:color w:val="333333"/>
          <w:kern w:val="2"/>
          <w:sz w:val="32"/>
          <w:szCs w:val="32"/>
          <w:shd w:val="clear" w:color="auto" w:fill="FFFFFF"/>
        </w:rPr>
        <w:t>本办法中动接受财政部门对人民调解案件“以案定补”经费的监督检规定的案件补贴标准，将根据调解案件总数和经费保障水平的变化情况，定期进行调整。</w:t>
      </w:r>
    </w:p>
    <w:p>
      <w:pPr>
        <w:pStyle w:val="6"/>
        <w:adjustRightInd w:val="0"/>
        <w:snapToGrid w:val="0"/>
        <w:spacing w:beforeAutospacing="0" w:afterAutospacing="0" w:line="590" w:lineRule="exact"/>
        <w:ind w:firstLine="675"/>
        <w:rPr>
          <w:rFonts w:ascii="仿宋" w:hAnsi="仿宋" w:eastAsia="仿宋" w:cs="Arial"/>
          <w:color w:val="000000"/>
          <w:sz w:val="32"/>
          <w:szCs w:val="32"/>
        </w:rPr>
      </w:pPr>
      <w:r>
        <w:rPr>
          <w:rFonts w:hint="eastAsia" w:ascii="黑体" w:hAnsi="黑体" w:eastAsia="黑体" w:cs="Arial"/>
          <w:color w:val="000000"/>
          <w:sz w:val="32"/>
          <w:szCs w:val="32"/>
        </w:rPr>
        <w:t>第十五条</w:t>
      </w:r>
      <w:r>
        <w:rPr>
          <w:rFonts w:eastAsia="仿宋" w:cs="Calibri"/>
          <w:b/>
          <w:color w:val="000000"/>
          <w:sz w:val="32"/>
          <w:szCs w:val="32"/>
        </w:rPr>
        <w:t> </w:t>
      </w:r>
      <w:r>
        <w:rPr>
          <w:rFonts w:hint="eastAsia" w:eastAsia="仿宋_GB2312" w:cs="Calibri"/>
          <w:color w:val="333333"/>
          <w:kern w:val="2"/>
          <w:sz w:val="32"/>
          <w:szCs w:val="32"/>
          <w:shd w:val="clear" w:color="auto" w:fill="FFFFFF"/>
        </w:rPr>
        <w:t>本规定自印发之日起施行。</w:t>
      </w:r>
      <w:bookmarkStart w:id="0" w:name="_GoBack"/>
      <w:bookmarkEnd w:id="0"/>
    </w:p>
    <w:p/>
    <w:p>
      <w:pPr>
        <w:suppressAutoHyphens/>
        <w:spacing w:line="590" w:lineRule="exact"/>
        <w:jc w:val="center"/>
        <w:rPr>
          <w:rFonts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ARJGosO&#10;AgAABwQAAA4AAAAAAAAAAQAgAAAANQEAAGRycy9lMm9Eb2MueG1sUEsFBgAAAAAGAAYAWQEAALUF&#10;A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阜新市司法局发布    </w:t>
    </w:r>
  </w:p>
  <w:p>
    <w:pPr>
      <w:pStyle w:val="5"/>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阜新市司法局行政规范性文件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hYTA3ODAxZWEwM2ZiZmQ2YjhhYmJjYmI3MDUwMDUifQ=="/>
  </w:docVars>
  <w:rsids>
    <w:rsidRoot w:val="29F93AA1"/>
    <w:rsid w:val="00050499"/>
    <w:rsid w:val="00066D51"/>
    <w:rsid w:val="0033222B"/>
    <w:rsid w:val="00335CDC"/>
    <w:rsid w:val="003F15E2"/>
    <w:rsid w:val="00423647"/>
    <w:rsid w:val="00500A84"/>
    <w:rsid w:val="0051566F"/>
    <w:rsid w:val="00636607"/>
    <w:rsid w:val="00754803"/>
    <w:rsid w:val="008156D4"/>
    <w:rsid w:val="0081597C"/>
    <w:rsid w:val="008300CD"/>
    <w:rsid w:val="0089719A"/>
    <w:rsid w:val="00A00157"/>
    <w:rsid w:val="00A023CC"/>
    <w:rsid w:val="00A17327"/>
    <w:rsid w:val="00A87E08"/>
    <w:rsid w:val="00C029D1"/>
    <w:rsid w:val="00CB3D07"/>
    <w:rsid w:val="00CE0B73"/>
    <w:rsid w:val="00D254DD"/>
    <w:rsid w:val="00D70B2A"/>
    <w:rsid w:val="00D834DA"/>
    <w:rsid w:val="00DF527D"/>
    <w:rsid w:val="00E31A7A"/>
    <w:rsid w:val="00E401C6"/>
    <w:rsid w:val="00EE4DE4"/>
    <w:rsid w:val="00F36469"/>
    <w:rsid w:val="00F94A78"/>
    <w:rsid w:val="00FC6AAF"/>
    <w:rsid w:val="02CC3DD3"/>
    <w:rsid w:val="04722D72"/>
    <w:rsid w:val="05E97064"/>
    <w:rsid w:val="0F2E03D5"/>
    <w:rsid w:val="117A14B8"/>
    <w:rsid w:val="160D3A15"/>
    <w:rsid w:val="1C2748E7"/>
    <w:rsid w:val="1C58533C"/>
    <w:rsid w:val="1E8F7C25"/>
    <w:rsid w:val="1FDB3C5F"/>
    <w:rsid w:val="231821C4"/>
    <w:rsid w:val="28405372"/>
    <w:rsid w:val="29F93AA1"/>
    <w:rsid w:val="2AFF1887"/>
    <w:rsid w:val="30E04F50"/>
    <w:rsid w:val="3E3A62D6"/>
    <w:rsid w:val="49482EB4"/>
    <w:rsid w:val="4EE84D58"/>
    <w:rsid w:val="4F4564A7"/>
    <w:rsid w:val="52AC1807"/>
    <w:rsid w:val="58334413"/>
    <w:rsid w:val="5AF53360"/>
    <w:rsid w:val="624B41E9"/>
    <w:rsid w:val="68376C8E"/>
    <w:rsid w:val="6D185E9C"/>
    <w:rsid w:val="6E3D4575"/>
    <w:rsid w:val="78803867"/>
    <w:rsid w:val="7953633B"/>
    <w:rsid w:val="7C0F6C70"/>
    <w:rsid w:val="7E3F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font12"/>
    <w:basedOn w:val="9"/>
    <w:qFormat/>
    <w:uiPriority w:val="0"/>
    <w:rPr>
      <w:rFonts w:hint="eastAsia" w:ascii="宋体" w:hAnsi="宋体" w:eastAsia="宋体" w:cs="宋体"/>
      <w:color w:val="000000"/>
      <w:sz w:val="20"/>
      <w:szCs w:val="20"/>
      <w:u w:val="none"/>
    </w:rPr>
  </w:style>
  <w:style w:type="character" w:customStyle="1" w:styleId="12">
    <w:name w:val="font41"/>
    <w:basedOn w:val="9"/>
    <w:qFormat/>
    <w:uiPriority w:val="0"/>
    <w:rPr>
      <w:rFonts w:hint="eastAsia" w:ascii="宋体" w:hAnsi="宋体" w:eastAsia="宋体" w:cs="宋体"/>
      <w:color w:val="FF0000"/>
      <w:sz w:val="20"/>
      <w:szCs w:val="20"/>
      <w:u w:val="none"/>
    </w:rPr>
  </w:style>
  <w:style w:type="character" w:customStyle="1" w:styleId="13">
    <w:name w:val="font61"/>
    <w:basedOn w:val="9"/>
    <w:qFormat/>
    <w:uiPriority w:val="0"/>
    <w:rPr>
      <w:rFonts w:hint="eastAsia" w:ascii="宋体" w:hAnsi="宋体" w:eastAsia="宋体" w:cs="宋体"/>
      <w:b/>
      <w:bCs/>
      <w:color w:val="000000"/>
      <w:sz w:val="20"/>
      <w:szCs w:val="20"/>
      <w:u w:val="none"/>
    </w:rPr>
  </w:style>
  <w:style w:type="character" w:customStyle="1" w:styleId="14">
    <w:name w:val="font231"/>
    <w:basedOn w:val="9"/>
    <w:qFormat/>
    <w:uiPriority w:val="0"/>
    <w:rPr>
      <w:rFonts w:hint="default" w:ascii="Times New Roman" w:hAnsi="Times New Roman" w:cs="Times New Roman"/>
      <w:color w:val="000000"/>
      <w:sz w:val="20"/>
      <w:szCs w:val="20"/>
      <w:u w:val="none"/>
    </w:rPr>
  </w:style>
  <w:style w:type="character" w:customStyle="1" w:styleId="15">
    <w:name w:val="font201"/>
    <w:basedOn w:val="9"/>
    <w:qFormat/>
    <w:uiPriority w:val="0"/>
    <w:rPr>
      <w:rFonts w:ascii="Arial" w:hAnsi="Arial" w:cs="Arial"/>
      <w:color w:val="000000"/>
      <w:sz w:val="20"/>
      <w:szCs w:val="20"/>
      <w:u w:val="none"/>
    </w:rPr>
  </w:style>
  <w:style w:type="character" w:customStyle="1" w:styleId="16">
    <w:name w:val="font11"/>
    <w:basedOn w:val="9"/>
    <w:qFormat/>
    <w:uiPriority w:val="0"/>
    <w:rPr>
      <w:rFonts w:hint="eastAsia" w:ascii="宋体" w:hAnsi="宋体" w:eastAsia="宋体" w:cs="宋体"/>
      <w:color w:val="000000"/>
      <w:sz w:val="20"/>
      <w:szCs w:val="20"/>
      <w:u w:val="none"/>
    </w:rPr>
  </w:style>
  <w:style w:type="character" w:customStyle="1" w:styleId="17">
    <w:name w:val="font51"/>
    <w:basedOn w:val="9"/>
    <w:qFormat/>
    <w:uiPriority w:val="0"/>
    <w:rPr>
      <w:rFonts w:hint="eastAsia" w:ascii="宋体" w:hAnsi="宋体" w:eastAsia="宋体" w:cs="宋体"/>
      <w:b/>
      <w:bCs/>
      <w:color w:val="000000"/>
      <w:sz w:val="52"/>
      <w:szCs w:val="52"/>
      <w:u w:val="none"/>
    </w:rPr>
  </w:style>
  <w:style w:type="character" w:customStyle="1" w:styleId="18">
    <w:name w:val="font131"/>
    <w:basedOn w:val="9"/>
    <w:qFormat/>
    <w:uiPriority w:val="0"/>
    <w:rPr>
      <w:rFonts w:hint="eastAsia" w:ascii="宋体" w:hAnsi="宋体" w:eastAsia="宋体" w:cs="宋体"/>
      <w:b/>
      <w:bCs/>
      <w:color w:val="000000"/>
      <w:sz w:val="20"/>
      <w:szCs w:val="20"/>
      <w:u w:val="none"/>
    </w:rPr>
  </w:style>
  <w:style w:type="character" w:customStyle="1" w:styleId="19">
    <w:name w:val="font8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522</Words>
  <Characters>2978</Characters>
  <Lines>24</Lines>
  <Paragraphs>6</Paragraphs>
  <TotalTime>0</TotalTime>
  <ScaleCrop>false</ScaleCrop>
  <LinksUpToDate>false</LinksUpToDate>
  <CharactersWithSpaces>3494</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2023-03-28T20:38:00Z</dcterms:created>
  <dc:creator>A羊娃娃</dc:creator>
  <cp:lastModifiedBy>user</cp:lastModifiedBy>
  <cp:lastPrinted>2023-03-29T14:16:00Z</cp:lastPrinted>
  <dcterms:modified xsi:type="dcterms:W3CDTF">2023-04-13T17:09:24Z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46E8A4354A43406FA3A6A7CCAEBFCC13</vt:lpwstr>
  </property>
</Properties>
</file>