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700" w:lineRule="exact"/>
        <w:jc w:val="center"/>
        <w:rPr>
          <w:rFonts w:ascii="方正小标宋_GBK" w:hAnsi="方正小标宋_GBK" w:eastAsia="方正小标宋_GBK" w:cs="方正小标宋_GBK"/>
          <w:sz w:val="44"/>
          <w:szCs w:val="44"/>
        </w:rPr>
      </w:pPr>
    </w:p>
    <w:p>
      <w:pPr>
        <w:suppressAutoHyphens/>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阜新市司法局关于印发《基层法律服务所与司法所分离的实施方案》的通知</w:t>
      </w:r>
    </w:p>
    <w:p>
      <w:pPr>
        <w:ind w:firstLine="640" w:firstLineChars="200"/>
        <w:jc w:val="center"/>
        <w:rPr>
          <w:rFonts w:ascii="仿宋_GB2312" w:hAnsi="仿宋_GB2312" w:eastAsia="仿宋_GB2312" w:cs="仿宋_GB2312"/>
          <w:color w:val="333333"/>
          <w:sz w:val="32"/>
          <w:szCs w:val="32"/>
          <w:shd w:val="clear" w:color="auto" w:fill="FFFFFF"/>
        </w:rPr>
      </w:pPr>
    </w:p>
    <w:p>
      <w:pPr>
        <w:ind w:firstLine="640" w:firstLineChars="200"/>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阜司发〔20</w:t>
      </w:r>
      <w:r>
        <w:rPr>
          <w:rFonts w:ascii="仿宋_GB2312" w:hAnsi="仿宋_GB2312" w:eastAsia="仿宋_GB2312" w:cs="仿宋_GB2312"/>
          <w:color w:val="333333"/>
          <w:sz w:val="32"/>
          <w:szCs w:val="32"/>
          <w:shd w:val="clear" w:color="auto" w:fill="FFFFFF"/>
        </w:rPr>
        <w:t>15</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23</w:t>
      </w:r>
      <w:r>
        <w:rPr>
          <w:rFonts w:hint="eastAsia" w:ascii="仿宋_GB2312" w:hAnsi="仿宋_GB2312" w:eastAsia="仿宋_GB2312" w:cs="仿宋_GB2312"/>
          <w:color w:val="333333"/>
          <w:sz w:val="32"/>
          <w:szCs w:val="32"/>
          <w:shd w:val="clear" w:color="auto" w:fill="FFFFFF"/>
        </w:rPr>
        <w:t>号</w:t>
      </w:r>
    </w:p>
    <w:p>
      <w:pPr>
        <w:ind w:firstLine="640" w:firstLineChars="200"/>
        <w:jc w:val="center"/>
        <w:rPr>
          <w:rFonts w:ascii="仿宋_GB2312" w:hAnsi="仿宋_GB2312" w:eastAsia="仿宋_GB2312" w:cs="仿宋_GB2312"/>
          <w:color w:val="333333"/>
          <w:sz w:val="32"/>
          <w:szCs w:val="32"/>
          <w:shd w:val="clear" w:color="auto" w:fill="FFFFFF"/>
        </w:rPr>
      </w:pPr>
    </w:p>
    <w:p>
      <w:pPr>
        <w:pStyle w:val="21"/>
        <w:spacing w:before="75" w:beforeAutospacing="0" w:after="75" w:afterAutospacing="0" w:line="590" w:lineRule="exact"/>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各县区司法局：</w:t>
      </w:r>
    </w:p>
    <w:p>
      <w:pPr>
        <w:pStyle w:val="21"/>
        <w:adjustRightInd w:val="0"/>
        <w:snapToGrid w:val="0"/>
        <w:spacing w:before="0" w:beforeAutospacing="0" w:after="0" w:afterAutospacing="0" w:line="590" w:lineRule="exact"/>
        <w:ind w:firstLine="675"/>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为贯彻落实党的十八届四中、五中全会精神，落实依法行政要求，根据省司法厅业务工作会议部署，市司法局研究决定，自2016年3月1日起，全市基层法律服务所与司法所彻底脱钩分离，现将方案印发给你们，望贯彻执行。</w:t>
      </w:r>
    </w:p>
    <w:p>
      <w:pPr>
        <w:pStyle w:val="6"/>
        <w:adjustRightInd w:val="0"/>
        <w:snapToGrid w:val="0"/>
        <w:spacing w:before="75" w:beforeAutospacing="0" w:after="75" w:afterAutospacing="0" w:line="590" w:lineRule="exact"/>
        <w:rPr>
          <w:rFonts w:ascii="仿宋" w:hAnsi="仿宋" w:eastAsia="仿宋" w:cs="Arial"/>
          <w:color w:val="000000"/>
          <w:sz w:val="32"/>
          <w:szCs w:val="32"/>
        </w:rPr>
      </w:pPr>
      <w:r>
        <w:rPr>
          <w:rFonts w:eastAsia="仿宋" w:cs="Calibri"/>
          <w:color w:val="000000"/>
          <w:sz w:val="32"/>
          <w:szCs w:val="32"/>
        </w:rPr>
        <w:t> </w:t>
      </w:r>
    </w:p>
    <w:p>
      <w:pPr>
        <w:pStyle w:val="21"/>
        <w:adjustRightInd w:val="0"/>
        <w:snapToGrid w:val="0"/>
        <w:spacing w:before="0" w:beforeAutospacing="0" w:after="0" w:afterAutospacing="0" w:line="590" w:lineRule="exact"/>
        <w:ind w:firstLine="675"/>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附件：基层法律服务所与司法所分离的实施方案</w:t>
      </w:r>
    </w:p>
    <w:p>
      <w:pPr>
        <w:pStyle w:val="6"/>
        <w:adjustRightInd w:val="0"/>
        <w:snapToGrid w:val="0"/>
        <w:spacing w:before="75" w:beforeAutospacing="0" w:after="75" w:afterAutospacing="0" w:line="590" w:lineRule="exact"/>
        <w:rPr>
          <w:rFonts w:ascii="仿宋" w:hAnsi="仿宋" w:eastAsia="仿宋" w:cs="Arial"/>
          <w:color w:val="000000"/>
          <w:sz w:val="32"/>
          <w:szCs w:val="32"/>
        </w:rPr>
      </w:pPr>
      <w:r>
        <w:rPr>
          <w:rFonts w:eastAsia="仿宋" w:cs="Calibri"/>
          <w:color w:val="000000"/>
          <w:sz w:val="32"/>
          <w:szCs w:val="32"/>
        </w:rPr>
        <w:t>         </w:t>
      </w:r>
    </w:p>
    <w:p>
      <w:pPr>
        <w:pStyle w:val="21"/>
        <w:adjustRightInd w:val="0"/>
        <w:snapToGrid w:val="0"/>
        <w:spacing w:before="0" w:beforeAutospacing="0" w:after="0" w:afterAutospacing="0" w:line="590" w:lineRule="exact"/>
        <w:ind w:firstLine="675"/>
        <w:jc w:val="right"/>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阜新市司法局</w:t>
      </w:r>
    </w:p>
    <w:p>
      <w:pPr>
        <w:pStyle w:val="21"/>
        <w:adjustRightInd w:val="0"/>
        <w:snapToGrid w:val="0"/>
        <w:spacing w:before="0" w:beforeAutospacing="0" w:after="0" w:afterAutospacing="0" w:line="590" w:lineRule="exact"/>
        <w:ind w:firstLine="675"/>
        <w:jc w:val="right"/>
        <w:rPr>
          <w:rFonts w:ascii="Calibri" w:hAnsi="Calibri" w:eastAsia="仿宋_GB2312" w:cs="Calibri"/>
          <w:color w:val="333333"/>
          <w:kern w:val="2"/>
          <w:sz w:val="32"/>
          <w:szCs w:val="32"/>
          <w:shd w:val="clear" w:color="auto" w:fill="FFFFFF"/>
        </w:rPr>
      </w:pPr>
      <w:r>
        <w:rPr>
          <w:rFonts w:hint="eastAsia" w:ascii="Calibri" w:hAnsi="Calibri" w:eastAsia="仿宋_GB2312" w:cs="Calibri"/>
          <w:color w:val="333333"/>
          <w:kern w:val="2"/>
          <w:sz w:val="32"/>
          <w:szCs w:val="32"/>
          <w:shd w:val="clear" w:color="auto" w:fill="FFFFFF"/>
        </w:rPr>
        <w:t>2015年12月18日</w:t>
      </w:r>
    </w:p>
    <w:p>
      <w:pPr>
        <w:pStyle w:val="6"/>
        <w:spacing w:before="75" w:beforeAutospacing="0" w:after="75" w:afterAutospacing="0"/>
        <w:rPr>
          <w:rFonts w:ascii="Arial" w:hAnsi="Arial" w:cs="Arial"/>
          <w:color w:val="000000"/>
          <w:sz w:val="21"/>
          <w:szCs w:val="21"/>
        </w:rPr>
      </w:pPr>
    </w:p>
    <w:p>
      <w:pPr>
        <w:pStyle w:val="6"/>
        <w:spacing w:before="75" w:beforeAutospacing="0" w:after="75" w:afterAutospacing="0"/>
        <w:rPr>
          <w:rStyle w:val="10"/>
          <w:rFonts w:ascii="黑体" w:hAnsi="黑体" w:eastAsia="黑体" w:cs="Arial"/>
          <w:color w:val="000000"/>
          <w:sz w:val="35"/>
          <w:szCs w:val="35"/>
        </w:rPr>
      </w:pPr>
    </w:p>
    <w:p>
      <w:pPr>
        <w:pStyle w:val="6"/>
        <w:spacing w:before="75" w:beforeAutospacing="0" w:after="75" w:afterAutospacing="0"/>
        <w:rPr>
          <w:rStyle w:val="10"/>
          <w:rFonts w:ascii="黑体" w:hAnsi="黑体" w:eastAsia="黑体" w:cs="Arial"/>
          <w:color w:val="000000"/>
          <w:sz w:val="35"/>
          <w:szCs w:val="35"/>
        </w:rPr>
      </w:pPr>
    </w:p>
    <w:p>
      <w:pPr>
        <w:pStyle w:val="6"/>
        <w:spacing w:before="75" w:beforeAutospacing="0" w:after="75" w:afterAutospacing="0"/>
        <w:rPr>
          <w:rStyle w:val="10"/>
          <w:rFonts w:hint="eastAsia" w:ascii="黑体" w:hAnsi="黑体" w:eastAsia="黑体" w:cs="Arial"/>
          <w:color w:val="000000"/>
          <w:sz w:val="35"/>
          <w:szCs w:val="35"/>
        </w:rPr>
      </w:pPr>
    </w:p>
    <w:p>
      <w:pPr>
        <w:pStyle w:val="6"/>
        <w:spacing w:before="75" w:beforeAutospacing="0" w:after="75" w:afterAutospacing="0"/>
        <w:rPr>
          <w:rFonts w:ascii="Arial" w:hAnsi="Arial" w:cs="Arial"/>
          <w:b w:val="0"/>
          <w:bCs w:val="0"/>
          <w:color w:val="000000"/>
          <w:sz w:val="32"/>
          <w:szCs w:val="32"/>
        </w:rPr>
      </w:pPr>
      <w:r>
        <w:rPr>
          <w:rStyle w:val="10"/>
          <w:rFonts w:hint="eastAsia" w:ascii="黑体" w:hAnsi="黑体" w:eastAsia="黑体" w:cs="Arial"/>
          <w:b w:val="0"/>
          <w:bCs w:val="0"/>
          <w:color w:val="000000"/>
          <w:sz w:val="32"/>
          <w:szCs w:val="32"/>
        </w:rPr>
        <w:t>附件</w:t>
      </w:r>
    </w:p>
    <w:p>
      <w:pPr>
        <w:pStyle w:val="6"/>
        <w:spacing w:before="75" w:beforeAutospacing="0" w:after="75" w:afterAutospacing="0"/>
        <w:rPr>
          <w:rFonts w:ascii="Arial" w:hAnsi="Arial" w:cs="Arial"/>
          <w:color w:val="000000"/>
          <w:sz w:val="21"/>
          <w:szCs w:val="21"/>
        </w:rPr>
      </w:pPr>
      <w:r>
        <w:rPr>
          <w:rStyle w:val="10"/>
          <w:rFonts w:hint="eastAsia" w:cs="Arial"/>
          <w:color w:val="000000"/>
          <w:sz w:val="44"/>
          <w:szCs w:val="44"/>
        </w:rPr>
        <w:t> </w:t>
      </w:r>
    </w:p>
    <w:p>
      <w:pPr>
        <w:pStyle w:val="6"/>
        <w:spacing w:before="75" w:beforeAutospacing="0" w:after="75" w:afterAutospacing="0"/>
        <w:jc w:val="center"/>
        <w:rPr>
          <w:rFonts w:ascii="黑体" w:hAnsi="黑体" w:eastAsia="黑体" w:cs="Arial"/>
          <w:b/>
          <w:color w:val="000000"/>
          <w:sz w:val="16"/>
          <w:szCs w:val="21"/>
        </w:rPr>
      </w:pPr>
      <w:r>
        <w:rPr>
          <w:rStyle w:val="10"/>
          <w:rFonts w:hint="eastAsia" w:ascii="黑体" w:hAnsi="黑体" w:eastAsia="黑体" w:cs="Arial"/>
          <w:b w:val="0"/>
          <w:bCs w:val="0"/>
          <w:color w:val="000000"/>
          <w:sz w:val="32"/>
          <w:szCs w:val="44"/>
        </w:rPr>
        <w:t>基层法律服务所与司法所分离的实施方案</w:t>
      </w:r>
    </w:p>
    <w:p>
      <w:pPr>
        <w:pStyle w:val="6"/>
        <w:spacing w:before="75" w:beforeAutospacing="0" w:after="75" w:afterAutospacing="0"/>
        <w:ind w:firstLine="690"/>
        <w:rPr>
          <w:rFonts w:ascii="Arial" w:hAnsi="Arial" w:cs="Arial"/>
          <w:color w:val="000000"/>
          <w:sz w:val="21"/>
          <w:szCs w:val="21"/>
        </w:rPr>
      </w:pPr>
      <w:r>
        <w:rPr>
          <w:rStyle w:val="10"/>
          <w:rFonts w:eastAsia="黑体" w:cs="Calibri"/>
          <w:color w:val="000000"/>
          <w:sz w:val="35"/>
          <w:szCs w:val="35"/>
        </w:rPr>
        <w:t> </w:t>
      </w:r>
    </w:p>
    <w:p>
      <w:pPr>
        <w:pStyle w:val="6"/>
        <w:adjustRightInd w:val="0"/>
        <w:snapToGrid w:val="0"/>
        <w:spacing w:beforeAutospacing="0" w:afterAutospacing="0" w:line="590" w:lineRule="exact"/>
        <w:ind w:firstLine="690"/>
        <w:rPr>
          <w:rFonts w:ascii="Arial" w:hAnsi="Arial" w:cs="Arial"/>
          <w:b w:val="0"/>
          <w:bCs w:val="0"/>
          <w:color w:val="000000"/>
          <w:sz w:val="32"/>
          <w:szCs w:val="32"/>
        </w:rPr>
      </w:pPr>
      <w:r>
        <w:rPr>
          <w:rStyle w:val="10"/>
          <w:rFonts w:hint="eastAsia" w:ascii="黑体" w:hAnsi="黑体" w:eastAsia="黑体" w:cs="Arial"/>
          <w:b w:val="0"/>
          <w:bCs w:val="0"/>
          <w:color w:val="000000"/>
          <w:sz w:val="32"/>
          <w:szCs w:val="32"/>
        </w:rPr>
        <w:t>一、指导思想</w:t>
      </w:r>
    </w:p>
    <w:p>
      <w:pPr>
        <w:pStyle w:val="6"/>
        <w:adjustRightInd w:val="0"/>
        <w:snapToGrid w:val="0"/>
        <w:spacing w:beforeAutospacing="0" w:afterAutospacing="0" w:line="590" w:lineRule="exact"/>
        <w:ind w:firstLine="690"/>
        <w:rPr>
          <w:rFonts w:ascii="仿宋" w:hAnsi="仿宋" w:eastAsia="仿宋" w:cs="Arial"/>
          <w:color w:val="000000"/>
          <w:sz w:val="32"/>
          <w:szCs w:val="32"/>
        </w:rPr>
      </w:pPr>
      <w:r>
        <w:rPr>
          <w:rFonts w:hint="eastAsia" w:eastAsia="仿宋_GB2312" w:cs="Calibri"/>
          <w:color w:val="333333"/>
          <w:kern w:val="2"/>
          <w:sz w:val="32"/>
          <w:szCs w:val="32"/>
          <w:shd w:val="clear" w:color="auto" w:fill="FFFFFF"/>
        </w:rPr>
        <w:t>以邓小平理论、三个代表、科学发展观和党的“十八大”及党的十八届四中、五中全会精神为指导，以建立完备的法律服务体系为目标，坚持正确的法律服务方向，优化基层法律服务法人治理结构，优化法律服务资源配置，不断提高服务人民群众的工作能力，以加强基层法律服务规范化建设为重点，推动依法行政深入开展，为全市经济社会发展做出新的贡献。</w:t>
      </w:r>
    </w:p>
    <w:p>
      <w:pPr>
        <w:pStyle w:val="6"/>
        <w:adjustRightInd w:val="0"/>
        <w:snapToGrid w:val="0"/>
        <w:spacing w:beforeAutospacing="0" w:afterAutospacing="0" w:line="590" w:lineRule="exact"/>
        <w:ind w:firstLine="690"/>
        <w:rPr>
          <w:rFonts w:ascii="Arial" w:hAnsi="Arial" w:cs="Arial"/>
          <w:b w:val="0"/>
          <w:bCs w:val="0"/>
          <w:color w:val="000000"/>
          <w:sz w:val="32"/>
          <w:szCs w:val="32"/>
        </w:rPr>
      </w:pPr>
      <w:r>
        <w:rPr>
          <w:rStyle w:val="10"/>
          <w:rFonts w:hint="eastAsia" w:ascii="黑体" w:hAnsi="黑体" w:eastAsia="黑体" w:cs="Arial"/>
          <w:b w:val="0"/>
          <w:bCs w:val="0"/>
          <w:color w:val="000000"/>
          <w:sz w:val="32"/>
          <w:szCs w:val="32"/>
        </w:rPr>
        <w:t>二、目的和意义</w:t>
      </w:r>
    </w:p>
    <w:p>
      <w:pPr>
        <w:pStyle w:val="6"/>
        <w:adjustRightInd w:val="0"/>
        <w:snapToGrid w:val="0"/>
        <w:spacing w:beforeAutospacing="0" w:afterAutospacing="0" w:line="590" w:lineRule="exact"/>
        <w:ind w:firstLine="690"/>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实施两所分离的目的和意义在于贯彻落实党的十八届四中全会提出的要建立完备的法律服务体系，不断规范基层法律服务工作，充分发挥法律服务在维护人民群众利益和社会稳定中的作用总体要求。既是落实依法行政的需要，也是基层司法行政工作改革的必然要求。两所分离后，司法所人员可以从繁杂的法律服务中解脱出来，紧紧围绕当地党委政府的中心工作，集中精力做好维护稳定、人民调解、法制宣传、安置帮教、社区矫正、法律援助等基层司法行政工作。能够有效地避免无偿调解和有偿服务的矛盾，消除人民群众对司法所工作性质的误解，充分展现基层司法所的良好形象。同时为基层法律服务发展提供了良好环境，基层法律服务所将在司法行政机关的指导监督下依法独立从事中介性质的法律服务工作，业务更规范、服务更便捷，有利于基层法律服务所自身发展壮大，有利于基层法律服务市场健康有序发展。</w:t>
      </w:r>
    </w:p>
    <w:p>
      <w:pPr>
        <w:pStyle w:val="6"/>
        <w:adjustRightInd w:val="0"/>
        <w:snapToGrid w:val="0"/>
        <w:spacing w:beforeAutospacing="0" w:afterAutospacing="0" w:line="590" w:lineRule="exact"/>
        <w:ind w:firstLine="690"/>
        <w:rPr>
          <w:rFonts w:ascii="Arial" w:hAnsi="Arial" w:cs="Arial"/>
          <w:b w:val="0"/>
          <w:bCs w:val="0"/>
          <w:color w:val="000000"/>
          <w:sz w:val="32"/>
          <w:szCs w:val="32"/>
        </w:rPr>
      </w:pPr>
      <w:r>
        <w:rPr>
          <w:rStyle w:val="10"/>
          <w:rFonts w:hint="eastAsia" w:ascii="黑体" w:hAnsi="黑体" w:eastAsia="黑体" w:cs="Arial"/>
          <w:b w:val="0"/>
          <w:bCs w:val="0"/>
          <w:color w:val="000000"/>
          <w:sz w:val="32"/>
          <w:szCs w:val="32"/>
        </w:rPr>
        <w:t>三、方法步骤</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实施两所分离分四个步骤：</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（一）动员准备。2016年2月20日前，各县区司法局做好宣传、教育、动员工作，明确实施的目的和意义及相关规定，说明利弊，厘清两所关系。</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二）整顿清理。2016年2月20日至3月1日，利用10天时间，各县区进行整顿清理，在2016年3月1日前，将基层法律服务所执业证正副本、印章、收费许可证、票据、委托书全部收归县区司法局保管，各县区司法局按照管理权限做好清产核资工作。已办结的案件档案由所在地司法所保管。</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三）整合设所。2016年3月份前，对符合设所要求的，应设尽设，对不能达到三人以上建所标准的，要实行分片整合。对整合后的法律服务所要以设所所在地法律服务所冠名，与原有法律服务所名称保持一致，在设所地可自行选择法律服务所办公地点，一并落实基层法律服务所负责人。对暂不能登记注册的法律服务所停止登记不注销，待符合三人以上标准时可恢复执业。</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（四）建章立制。各县区对整合后的法律服务所的管理依照司法部、省、市司法行政机关的有关规定制定管理细则，各基层法律服务所建立章程。</w:t>
      </w:r>
    </w:p>
    <w:p>
      <w:pPr>
        <w:pStyle w:val="6"/>
        <w:adjustRightInd w:val="0"/>
        <w:snapToGrid w:val="0"/>
        <w:spacing w:beforeAutospacing="0" w:afterAutospacing="0" w:line="590" w:lineRule="exact"/>
        <w:ind w:firstLine="645"/>
        <w:rPr>
          <w:rFonts w:ascii="Arial" w:hAnsi="Arial" w:cs="Arial"/>
          <w:b w:val="0"/>
          <w:bCs w:val="0"/>
          <w:color w:val="000000"/>
          <w:sz w:val="32"/>
          <w:szCs w:val="32"/>
        </w:rPr>
      </w:pPr>
      <w:r>
        <w:rPr>
          <w:rStyle w:val="10"/>
          <w:rFonts w:hint="eastAsia" w:ascii="黑体" w:hAnsi="黑体" w:eastAsia="黑体" w:cs="Arial"/>
          <w:b w:val="0"/>
          <w:bCs w:val="0"/>
          <w:color w:val="000000"/>
          <w:sz w:val="32"/>
          <w:szCs w:val="32"/>
        </w:rPr>
        <w:t>四、工作要求</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（一）各县区司法局要高度重视此项工作，召开专题会议，研究部署落实方案实施意见，在实施阶段要精心组织，认真贯彻文件精神，不得变通执行，保证在分离过程中不出现任何问题。</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二）在整顿阶段清理基层法律服务所的同时，要清理基层法律服务工作者中的公务员、事业单位工作人员（包括法院的书记员、公安部门的辅警和其它在政府机关和事业单位的临时人员），这些人员根据有关法律法规和相关规定，2016年以后不允许再注册执业，对这些人要说明不注册的理由，做好思想工作，搞好教育。督办未完结的案件，做到底数清，情况明。</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（三）在整合设所时，要考虑布局，对能设所的地区要尽量设所，对不能设所的乡镇（街道），要及时与乡镇、(街道)党（工）委、政府(办事处)沟通，提出今后开展法律服务的合理化建议。</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（四）两所分离后，要保证三个关系不变，一是基层法律服务保证全心全意为人民服务宗旨不变。二是基层法律服务的职</w:t>
      </w:r>
      <w:bookmarkStart w:id="0" w:name="_GoBack"/>
      <w:bookmarkEnd w:id="0"/>
      <w:r>
        <w:rPr>
          <w:rFonts w:hint="eastAsia" w:eastAsia="仿宋_GB2312" w:cs="Calibri"/>
          <w:color w:val="333333"/>
          <w:kern w:val="2"/>
          <w:sz w:val="32"/>
          <w:szCs w:val="32"/>
          <w:shd w:val="clear" w:color="auto" w:fill="FFFFFF"/>
        </w:rPr>
        <w:t>责不变，在确保完成服务大局、服务党委政府中心的前提下开展工作。三是与基层司法所的管理指导关系不变，在遵守设立原则的基础上，服从基层司法所的管理和指导。在重新组合设所时，每个所要建立完备的制度章程，包括规定注册资金的出资人、收入分配支出范围、基层法律服务工作者的有限责任、三统一实施办法、办公场所的利用，工作纪律等等。</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各基层法律服务所整合后，县区司法局要根据本县区的实际，按照相关要求，制定好基层法律服务所管理细则，确保有章可循。</w:t>
      </w:r>
    </w:p>
    <w:p>
      <w:pPr>
        <w:pStyle w:val="6"/>
        <w:adjustRightInd w:val="0"/>
        <w:snapToGrid w:val="0"/>
        <w:spacing w:beforeAutospacing="0" w:afterAutospacing="0" w:line="590" w:lineRule="exact"/>
        <w:ind w:firstLine="675"/>
        <w:rPr>
          <w:rFonts w:eastAsia="仿宋_GB2312" w:cs="Calibri"/>
          <w:color w:val="333333"/>
          <w:kern w:val="2"/>
          <w:sz w:val="32"/>
          <w:szCs w:val="32"/>
          <w:shd w:val="clear" w:color="auto" w:fill="FFFFFF"/>
        </w:rPr>
      </w:pPr>
      <w:r>
        <w:rPr>
          <w:rFonts w:hint="eastAsia" w:eastAsia="仿宋_GB2312" w:cs="Calibri"/>
          <w:color w:val="333333"/>
          <w:kern w:val="2"/>
          <w:sz w:val="32"/>
          <w:szCs w:val="32"/>
          <w:shd w:val="clear" w:color="auto" w:fill="FFFFFF"/>
        </w:rPr>
        <w:t>此项工作，市司法局成立领导小组，组长由副局长赵刚担任，成员有基层工作指导科科长、副科长，法律援助科科长。</w:t>
      </w:r>
    </w:p>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CESI宋体-GB2312">
    <w:panose1 w:val="02000500000000000000"/>
    <w:charset w:val="86"/>
    <w:family w:val="auto"/>
    <w:pitch w:val="default"/>
    <w:sig w:usb0="800002AF" w:usb1="0847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阜新市司法局发布    </w:t>
    </w:r>
  </w:p>
  <w:p>
    <w:pPr>
      <w:pStyle w:val="5"/>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阜新市司法局行政规范性文件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YTA3ODAxZWEwM2ZiZmQ2YjhhYmJjYmI3MDUwMDUifQ=="/>
  </w:docVars>
  <w:rsids>
    <w:rsidRoot w:val="29F93AA1"/>
    <w:rsid w:val="00050499"/>
    <w:rsid w:val="00062EA0"/>
    <w:rsid w:val="00066D51"/>
    <w:rsid w:val="0033222B"/>
    <w:rsid w:val="00355B6C"/>
    <w:rsid w:val="003F15E2"/>
    <w:rsid w:val="0041116E"/>
    <w:rsid w:val="00423647"/>
    <w:rsid w:val="004F211C"/>
    <w:rsid w:val="00500A84"/>
    <w:rsid w:val="0051566F"/>
    <w:rsid w:val="00636607"/>
    <w:rsid w:val="00754803"/>
    <w:rsid w:val="008156D4"/>
    <w:rsid w:val="0081597C"/>
    <w:rsid w:val="008300CD"/>
    <w:rsid w:val="0089719A"/>
    <w:rsid w:val="008C0F26"/>
    <w:rsid w:val="009004B0"/>
    <w:rsid w:val="0097529B"/>
    <w:rsid w:val="00A00157"/>
    <w:rsid w:val="00A023CC"/>
    <w:rsid w:val="00A17327"/>
    <w:rsid w:val="00A87E08"/>
    <w:rsid w:val="00B9128B"/>
    <w:rsid w:val="00CB3D07"/>
    <w:rsid w:val="00D254DD"/>
    <w:rsid w:val="00D63992"/>
    <w:rsid w:val="00D834DA"/>
    <w:rsid w:val="00DF527D"/>
    <w:rsid w:val="00E31A7A"/>
    <w:rsid w:val="00E401C6"/>
    <w:rsid w:val="00EE4DE4"/>
    <w:rsid w:val="00F36469"/>
    <w:rsid w:val="00F94A78"/>
    <w:rsid w:val="00FE70B3"/>
    <w:rsid w:val="02CC3DD3"/>
    <w:rsid w:val="04722D72"/>
    <w:rsid w:val="05E97064"/>
    <w:rsid w:val="0F2E03D5"/>
    <w:rsid w:val="117A14B8"/>
    <w:rsid w:val="160D3A15"/>
    <w:rsid w:val="1C2748E7"/>
    <w:rsid w:val="1C58533C"/>
    <w:rsid w:val="1E8F7C25"/>
    <w:rsid w:val="1FDB3C5F"/>
    <w:rsid w:val="231821C4"/>
    <w:rsid w:val="28405372"/>
    <w:rsid w:val="29F93AA1"/>
    <w:rsid w:val="30E04F50"/>
    <w:rsid w:val="3E3A62D6"/>
    <w:rsid w:val="49482EB4"/>
    <w:rsid w:val="4EE84D58"/>
    <w:rsid w:val="4F4564A7"/>
    <w:rsid w:val="52AC1807"/>
    <w:rsid w:val="58334413"/>
    <w:rsid w:val="5AF53360"/>
    <w:rsid w:val="624B41E9"/>
    <w:rsid w:val="68376C8E"/>
    <w:rsid w:val="6D185E9C"/>
    <w:rsid w:val="6E3D4575"/>
    <w:rsid w:val="78803867"/>
    <w:rsid w:val="7953633B"/>
    <w:rsid w:val="796671CB"/>
    <w:rsid w:val="7C0F6C70"/>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font12"/>
    <w:basedOn w:val="9"/>
    <w:qFormat/>
    <w:uiPriority w:val="0"/>
    <w:rPr>
      <w:rFonts w:hint="eastAsia" w:ascii="宋体" w:hAnsi="宋体" w:eastAsia="宋体" w:cs="宋体"/>
      <w:color w:val="000000"/>
      <w:sz w:val="20"/>
      <w:szCs w:val="20"/>
      <w:u w:val="none"/>
    </w:rPr>
  </w:style>
  <w:style w:type="character" w:customStyle="1" w:styleId="13">
    <w:name w:val="font41"/>
    <w:basedOn w:val="9"/>
    <w:qFormat/>
    <w:uiPriority w:val="0"/>
    <w:rPr>
      <w:rFonts w:hint="eastAsia" w:ascii="宋体" w:hAnsi="宋体" w:eastAsia="宋体" w:cs="宋体"/>
      <w:color w:val="FF0000"/>
      <w:sz w:val="20"/>
      <w:szCs w:val="20"/>
      <w:u w:val="none"/>
    </w:rPr>
  </w:style>
  <w:style w:type="character" w:customStyle="1" w:styleId="14">
    <w:name w:val="font61"/>
    <w:basedOn w:val="9"/>
    <w:qFormat/>
    <w:uiPriority w:val="0"/>
    <w:rPr>
      <w:rFonts w:hint="eastAsia" w:ascii="宋体" w:hAnsi="宋体" w:eastAsia="宋体" w:cs="宋体"/>
      <w:b/>
      <w:bCs/>
      <w:color w:val="000000"/>
      <w:sz w:val="20"/>
      <w:szCs w:val="20"/>
      <w:u w:val="none"/>
    </w:rPr>
  </w:style>
  <w:style w:type="character" w:customStyle="1" w:styleId="15">
    <w:name w:val="font231"/>
    <w:basedOn w:val="9"/>
    <w:qFormat/>
    <w:uiPriority w:val="0"/>
    <w:rPr>
      <w:rFonts w:hint="default" w:ascii="Times New Roman" w:hAnsi="Times New Roman" w:cs="Times New Roman"/>
      <w:color w:val="000000"/>
      <w:sz w:val="20"/>
      <w:szCs w:val="20"/>
      <w:u w:val="none"/>
    </w:rPr>
  </w:style>
  <w:style w:type="character" w:customStyle="1" w:styleId="16">
    <w:name w:val="font20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font51"/>
    <w:basedOn w:val="9"/>
    <w:qFormat/>
    <w:uiPriority w:val="0"/>
    <w:rPr>
      <w:rFonts w:hint="eastAsia" w:ascii="宋体" w:hAnsi="宋体" w:eastAsia="宋体" w:cs="宋体"/>
      <w:b/>
      <w:bCs/>
      <w:color w:val="000000"/>
      <w:sz w:val="52"/>
      <w:szCs w:val="52"/>
      <w:u w:val="none"/>
    </w:rPr>
  </w:style>
  <w:style w:type="character" w:customStyle="1" w:styleId="19">
    <w:name w:val="font131"/>
    <w:basedOn w:val="9"/>
    <w:qFormat/>
    <w:uiPriority w:val="0"/>
    <w:rPr>
      <w:rFonts w:hint="eastAsia" w:ascii="宋体" w:hAnsi="宋体" w:eastAsia="宋体" w:cs="宋体"/>
      <w:b/>
      <w:bCs/>
      <w:color w:val="000000"/>
      <w:sz w:val="20"/>
      <w:szCs w:val="20"/>
      <w:u w:val="none"/>
    </w:rPr>
  </w:style>
  <w:style w:type="character" w:customStyle="1" w:styleId="20">
    <w:name w:val="font81"/>
    <w:basedOn w:val="9"/>
    <w:qFormat/>
    <w:uiPriority w:val="0"/>
    <w:rPr>
      <w:rFonts w:hint="eastAsia" w:ascii="宋体" w:hAnsi="宋体" w:eastAsia="宋体" w:cs="宋体"/>
      <w:color w:val="000000"/>
      <w:sz w:val="20"/>
      <w:szCs w:val="20"/>
      <w:u w:val="none"/>
    </w:rPr>
  </w:style>
  <w:style w:type="paragraph" w:customStyle="1" w:styleId="21">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284</Words>
  <Characters>1620</Characters>
  <Lines>13</Lines>
  <Paragraphs>3</Paragraphs>
  <TotalTime>4</TotalTime>
  <ScaleCrop>false</ScaleCrop>
  <LinksUpToDate>false</LinksUpToDate>
  <CharactersWithSpaces>1901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2023-03-29T09:35:00Z</dcterms:created>
  <dc:creator>A羊娃娃</dc:creator>
  <cp:lastModifiedBy>user</cp:lastModifiedBy>
  <dcterms:modified xsi:type="dcterms:W3CDTF">2023-04-14T09:09:12Z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46E8A4354A43406FA3A6A7CCAEBFCC13</vt:lpwstr>
  </property>
</Properties>
</file>